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C61" w:rsidRPr="0076792F" w:rsidRDefault="00C74C61" w:rsidP="00C74C61">
      <w:pPr>
        <w:rPr>
          <w:rFonts w:ascii="Times New Roman" w:hAnsi="Times New Roman"/>
        </w:rPr>
      </w:pPr>
    </w:p>
    <w:p w:rsidR="006A0BD6" w:rsidRPr="00BD20AB" w:rsidRDefault="006A0BD6">
      <w:pPr>
        <w:pStyle w:val="Heading1"/>
        <w:rPr>
          <w:rFonts w:ascii="Source Sans Pro" w:hAnsi="Source Sans Pro"/>
          <w:sz w:val="22"/>
          <w:szCs w:val="22"/>
        </w:rPr>
      </w:pPr>
      <w:r w:rsidRPr="00BD20AB">
        <w:rPr>
          <w:rFonts w:ascii="Source Sans Pro" w:hAnsi="Source Sans Pro"/>
          <w:sz w:val="22"/>
          <w:szCs w:val="22"/>
        </w:rPr>
        <w:t>POLICY</w:t>
      </w:r>
    </w:p>
    <w:p w:rsidR="00C93471" w:rsidRPr="00BD20AB" w:rsidRDefault="00C93471" w:rsidP="00C93471">
      <w:pPr>
        <w:rPr>
          <w:rFonts w:ascii="Source Sans Pro" w:hAnsi="Source Sans Pro"/>
          <w:sz w:val="22"/>
          <w:szCs w:val="22"/>
        </w:rPr>
      </w:pPr>
    </w:p>
    <w:p w:rsidR="00C93471" w:rsidRPr="00BD20AB" w:rsidRDefault="00C93471" w:rsidP="00C93471">
      <w:pPr>
        <w:rPr>
          <w:rFonts w:ascii="Source Sans Pro" w:hAnsi="Source Sans Pro"/>
          <w:sz w:val="22"/>
          <w:szCs w:val="22"/>
        </w:rPr>
      </w:pPr>
      <w:r w:rsidRPr="00BD20AB">
        <w:rPr>
          <w:rFonts w:ascii="Source Sans Pro" w:hAnsi="Source Sans Pro"/>
          <w:sz w:val="22"/>
          <w:szCs w:val="22"/>
        </w:rPr>
        <w:t xml:space="preserve">It is the policy of </w:t>
      </w:r>
      <w:r w:rsidRPr="00BD20AB">
        <w:rPr>
          <w:rFonts w:ascii="Source Sans Pro" w:hAnsi="Source Sans Pro"/>
          <w:color w:val="FF0000"/>
          <w:sz w:val="22"/>
          <w:szCs w:val="22"/>
        </w:rPr>
        <w:t>&lt;&lt;</w:t>
      </w:r>
      <w:r w:rsidR="006D4F66" w:rsidRPr="00BD20AB">
        <w:rPr>
          <w:rFonts w:ascii="Source Sans Pro" w:hAnsi="Source Sans Pro"/>
          <w:color w:val="FF0000"/>
          <w:sz w:val="22"/>
          <w:szCs w:val="22"/>
        </w:rPr>
        <w:t>Facility</w:t>
      </w:r>
      <w:r w:rsidRPr="00BD20AB">
        <w:rPr>
          <w:rFonts w:ascii="Source Sans Pro" w:hAnsi="Source Sans Pro"/>
          <w:color w:val="FF0000"/>
          <w:sz w:val="22"/>
          <w:szCs w:val="22"/>
        </w:rPr>
        <w:t xml:space="preserve"> Name&gt;&gt;</w:t>
      </w:r>
      <w:r w:rsidRPr="00BD20AB">
        <w:rPr>
          <w:rFonts w:ascii="Source Sans Pro" w:hAnsi="Source Sans Pro"/>
          <w:sz w:val="22"/>
          <w:szCs w:val="22"/>
        </w:rPr>
        <w:t xml:space="preserve"> to ensure that relocatable power taps (RPTs) /power strips in the facility are utilized with patient, staff</w:t>
      </w:r>
      <w:r w:rsidR="00BD20AB">
        <w:rPr>
          <w:rFonts w:ascii="Source Sans Pro" w:hAnsi="Source Sans Pro"/>
          <w:sz w:val="22"/>
          <w:szCs w:val="22"/>
        </w:rPr>
        <w:t>,</w:t>
      </w:r>
      <w:r w:rsidRPr="00BD20AB">
        <w:rPr>
          <w:rFonts w:ascii="Source Sans Pro" w:hAnsi="Source Sans Pro"/>
          <w:sz w:val="22"/>
          <w:szCs w:val="22"/>
        </w:rPr>
        <w:t xml:space="preserve"> and visitor safety being of utmost concern.</w:t>
      </w:r>
    </w:p>
    <w:p w:rsidR="00C93471" w:rsidRPr="00BD20AB" w:rsidRDefault="00C93471" w:rsidP="00C93471">
      <w:pPr>
        <w:rPr>
          <w:rFonts w:ascii="Source Sans Pro" w:hAnsi="Source Sans Pro"/>
          <w:sz w:val="22"/>
          <w:szCs w:val="22"/>
        </w:rPr>
      </w:pPr>
    </w:p>
    <w:p w:rsidR="00C93471" w:rsidRPr="00BD20AB" w:rsidRDefault="00C93471" w:rsidP="00C93471">
      <w:pPr>
        <w:pStyle w:val="Heading1"/>
        <w:rPr>
          <w:rFonts w:ascii="Source Sans Pro" w:hAnsi="Source Sans Pro"/>
          <w:sz w:val="22"/>
          <w:szCs w:val="22"/>
        </w:rPr>
      </w:pPr>
      <w:r w:rsidRPr="00BD20AB">
        <w:rPr>
          <w:rFonts w:ascii="Source Sans Pro" w:hAnsi="Source Sans Pro"/>
          <w:sz w:val="22"/>
          <w:szCs w:val="22"/>
        </w:rPr>
        <w:t>PROCEDURE</w:t>
      </w:r>
    </w:p>
    <w:p w:rsidR="006A0BD6" w:rsidRPr="00BD20AB" w:rsidRDefault="006A0BD6">
      <w:pPr>
        <w:pStyle w:val="Heading1"/>
        <w:rPr>
          <w:rFonts w:ascii="Source Sans Pro" w:hAnsi="Source Sans Pro"/>
          <w:sz w:val="22"/>
          <w:szCs w:val="22"/>
        </w:rPr>
      </w:pPr>
    </w:p>
    <w:p w:rsidR="00AC4072" w:rsidRPr="00BD20AB" w:rsidRDefault="008F29E8">
      <w:pPr>
        <w:rPr>
          <w:rFonts w:ascii="Source Sans Pro" w:hAnsi="Source Sans Pro"/>
          <w:color w:val="040506"/>
          <w:sz w:val="22"/>
          <w:szCs w:val="22"/>
        </w:rPr>
      </w:pPr>
      <w:r w:rsidRPr="00BD20AB">
        <w:rPr>
          <w:rFonts w:ascii="Source Sans Pro" w:hAnsi="Source Sans Pro"/>
          <w:color w:val="040506"/>
          <w:sz w:val="22"/>
          <w:szCs w:val="22"/>
        </w:rPr>
        <w:t>Power strips in a patient care vicinity are only used for components of movable electrical equipment used for patient care</w:t>
      </w:r>
      <w:r w:rsidR="002F2933" w:rsidRPr="00BD20AB">
        <w:rPr>
          <w:rFonts w:ascii="Source Sans Pro" w:hAnsi="Source Sans Pro"/>
          <w:color w:val="040506"/>
          <w:sz w:val="22"/>
          <w:szCs w:val="22"/>
        </w:rPr>
        <w:t xml:space="preserve">. </w:t>
      </w:r>
      <w:r w:rsidRPr="00BD20AB">
        <w:rPr>
          <w:rFonts w:ascii="Source Sans Pro" w:hAnsi="Source Sans Pro"/>
          <w:color w:val="040506"/>
          <w:sz w:val="22"/>
          <w:szCs w:val="22"/>
        </w:rPr>
        <w:t xml:space="preserve">These power strips meet UL 1363A or UL 60601-1. </w:t>
      </w:r>
    </w:p>
    <w:p w:rsidR="00AC4072" w:rsidRPr="00BD20AB" w:rsidRDefault="00AC4072">
      <w:pPr>
        <w:rPr>
          <w:rFonts w:ascii="Source Sans Pro" w:hAnsi="Source Sans Pro"/>
          <w:color w:val="040506"/>
          <w:sz w:val="22"/>
          <w:szCs w:val="22"/>
        </w:rPr>
      </w:pPr>
    </w:p>
    <w:p w:rsidR="00FA1FD2" w:rsidRPr="00BD20AB" w:rsidRDefault="008F29E8">
      <w:pPr>
        <w:rPr>
          <w:rFonts w:ascii="Source Sans Pro" w:hAnsi="Source Sans Pro"/>
          <w:sz w:val="22"/>
          <w:szCs w:val="22"/>
        </w:rPr>
      </w:pPr>
      <w:r w:rsidRPr="00BD20AB">
        <w:rPr>
          <w:rFonts w:ascii="Source Sans Pro" w:hAnsi="Source Sans Pro"/>
          <w:color w:val="040506"/>
          <w:sz w:val="22"/>
          <w:szCs w:val="22"/>
        </w:rPr>
        <w:t>Power strips used outside of a patient care vicinity, but within the patient care room, meet UL 1363. In non–patient care rooms, power strips meet other UL standards.</w:t>
      </w:r>
    </w:p>
    <w:p w:rsidR="00513E23" w:rsidRPr="00BD20AB" w:rsidRDefault="00513E23" w:rsidP="006A0BD6">
      <w:pPr>
        <w:pStyle w:val="BodyTextIndent"/>
        <w:ind w:firstLine="0"/>
        <w:rPr>
          <w:rFonts w:ascii="Source Sans Pro" w:hAnsi="Source Sans Pro"/>
          <w:sz w:val="22"/>
          <w:szCs w:val="22"/>
        </w:rPr>
      </w:pPr>
    </w:p>
    <w:p w:rsidR="00FA1FD2" w:rsidRPr="00BD20AB" w:rsidRDefault="002F2933" w:rsidP="002F2933">
      <w:pPr>
        <w:pStyle w:val="BodyTextIndent"/>
        <w:ind w:firstLine="0"/>
        <w:rPr>
          <w:rFonts w:ascii="Source Sans Pro" w:hAnsi="Source Sans Pro"/>
          <w:b/>
          <w:bCs/>
          <w:sz w:val="22"/>
          <w:szCs w:val="22"/>
          <w:highlight w:val="yellow"/>
        </w:rPr>
      </w:pPr>
      <w:r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NOTE 1: The Mounting of power strips to medical equipment assemblies or the reconfiguration of equipment powered by power strips in a medical equipment assembly must be performed by personnel who are qualified to make sure this is done in accordance with NFPA 99-2012 10.2.3.6. </w:t>
      </w:r>
    </w:p>
    <w:p w:rsidR="002F2933" w:rsidRPr="00BD20AB" w:rsidRDefault="002F2933" w:rsidP="002F2933">
      <w:pPr>
        <w:pStyle w:val="BodyTextIndent"/>
        <w:ind w:firstLine="0"/>
        <w:rPr>
          <w:rFonts w:ascii="Source Sans Pro" w:hAnsi="Source Sans Pro"/>
          <w:b/>
          <w:bCs/>
          <w:sz w:val="22"/>
          <w:szCs w:val="22"/>
          <w:highlight w:val="yellow"/>
        </w:rPr>
      </w:pPr>
    </w:p>
    <w:p w:rsidR="002F2933" w:rsidRPr="00BD20AB" w:rsidRDefault="002F2933" w:rsidP="002F2933">
      <w:pPr>
        <w:pStyle w:val="BodyTextIndent"/>
        <w:ind w:firstLine="0"/>
        <w:rPr>
          <w:rFonts w:ascii="Source Sans Pro" w:hAnsi="Source Sans Pro"/>
          <w:b/>
          <w:bCs/>
          <w:sz w:val="22"/>
          <w:szCs w:val="22"/>
          <w:highlight w:val="yellow"/>
        </w:rPr>
      </w:pPr>
      <w:r w:rsidRPr="00BD20AB">
        <w:rPr>
          <w:rFonts w:ascii="Source Sans Pro" w:hAnsi="Source Sans Pro"/>
          <w:b/>
          <w:bCs/>
          <w:sz w:val="22"/>
          <w:szCs w:val="22"/>
          <w:highlight w:val="yellow"/>
        </w:rPr>
        <w:t>Note 2: Per NFPA 99-2012 3.3.138 patient care room is defined as</w:t>
      </w:r>
      <w:r w:rsidR="00B5163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 any room of </w:t>
      </w:r>
      <w:r w:rsid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a </w:t>
      </w:r>
      <w:r w:rsidR="00B5163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health care facility wherein patients are intended to be examined or treated per NFPA 99-2012 3.3.139; </w:t>
      </w:r>
      <w:r w:rsidR="001E619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>p</w:t>
      </w:r>
      <w:r w:rsidR="00B5163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atient care vicinity </w:t>
      </w:r>
      <w:r w:rsidR="001E619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>is</w:t>
      </w:r>
      <w:r w:rsidR="00B5163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 defined as a space within a location intended for the examination </w:t>
      </w:r>
      <w:r w:rsidR="001E619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>a</w:t>
      </w:r>
      <w:r w:rsidR="00B5163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>nd treatment of patients, extending 1.8 meters (6 feet)beyond the normal location of the bed.</w:t>
      </w:r>
      <w:r w:rsid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 </w:t>
      </w:r>
      <w:r w:rsidR="00B5163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>chair, table, treadmill</w:t>
      </w:r>
      <w:r w:rsidR="00BD20AB">
        <w:rPr>
          <w:rFonts w:ascii="Source Sans Pro" w:hAnsi="Source Sans Pro"/>
          <w:b/>
          <w:bCs/>
          <w:sz w:val="22"/>
          <w:szCs w:val="22"/>
          <w:highlight w:val="yellow"/>
        </w:rPr>
        <w:t>,</w:t>
      </w:r>
      <w:r w:rsidR="00B5163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 or </w:t>
      </w:r>
      <w:r w:rsidR="00BD20AB">
        <w:rPr>
          <w:rFonts w:ascii="Source Sans Pro" w:hAnsi="Source Sans Pro"/>
          <w:b/>
          <w:bCs/>
          <w:sz w:val="22"/>
          <w:szCs w:val="22"/>
          <w:highlight w:val="yellow"/>
        </w:rPr>
        <w:t>other devices</w:t>
      </w:r>
      <w:r w:rsidR="00B5163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 that </w:t>
      </w:r>
      <w:r w:rsidR="00BD20AB">
        <w:rPr>
          <w:rFonts w:ascii="Source Sans Pro" w:hAnsi="Source Sans Pro"/>
          <w:b/>
          <w:bCs/>
          <w:sz w:val="22"/>
          <w:szCs w:val="22"/>
          <w:highlight w:val="yellow"/>
        </w:rPr>
        <w:t>support</w:t>
      </w:r>
      <w:r w:rsidR="00B5163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 the patient during examination or treatment and </w:t>
      </w:r>
      <w:r w:rsidR="00BD20AB">
        <w:rPr>
          <w:rFonts w:ascii="Source Sans Pro" w:hAnsi="Source Sans Pro"/>
          <w:b/>
          <w:bCs/>
          <w:sz w:val="22"/>
          <w:szCs w:val="22"/>
          <w:highlight w:val="yellow"/>
        </w:rPr>
        <w:t>extend</w:t>
      </w:r>
      <w:r w:rsidR="00B5163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 vertically</w:t>
      </w:r>
      <w:r w:rsidR="001E6196"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 to 2.3 meters (7 feet 6 inches) above the floor.</w:t>
      </w:r>
    </w:p>
    <w:p w:rsidR="001E6196" w:rsidRPr="00BD20AB" w:rsidRDefault="00BD20AB" w:rsidP="002F2933">
      <w:pPr>
        <w:pStyle w:val="BodyTextIndent"/>
        <w:ind w:firstLine="0"/>
        <w:rPr>
          <w:rFonts w:ascii="Source Sans Pro" w:hAnsi="Source Sans Pro"/>
          <w:b/>
          <w:bCs/>
          <w:sz w:val="22"/>
          <w:szCs w:val="22"/>
          <w:highlight w:val="yellow"/>
        </w:rPr>
      </w:pPr>
      <w:r>
        <w:rPr>
          <w:rFonts w:ascii="Source Sans Pro" w:hAnsi="Source Sans Pro"/>
          <w:b/>
          <w:bCs/>
          <w:sz w:val="22"/>
          <w:szCs w:val="22"/>
          <w:highlight w:val="yellow"/>
        </w:rPr>
        <w:t>ss</w:t>
      </w:r>
    </w:p>
    <w:p w:rsidR="001E6196" w:rsidRPr="00BD20AB" w:rsidRDefault="001E6196" w:rsidP="002F2933">
      <w:pPr>
        <w:pStyle w:val="BodyTextIndent"/>
        <w:ind w:firstLine="0"/>
        <w:rPr>
          <w:rFonts w:ascii="Source Sans Pro" w:hAnsi="Source Sans Pro"/>
          <w:sz w:val="22"/>
          <w:szCs w:val="22"/>
        </w:rPr>
      </w:pPr>
      <w:r w:rsidRPr="00BD20AB">
        <w:rPr>
          <w:rFonts w:ascii="Source Sans Pro" w:hAnsi="Source Sans Pro"/>
          <w:b/>
          <w:bCs/>
          <w:sz w:val="22"/>
          <w:szCs w:val="22"/>
          <w:highlight w:val="yellow"/>
        </w:rPr>
        <w:t>Note 3: In new facilities</w:t>
      </w:r>
      <w:r w:rsidR="00BD20AB">
        <w:rPr>
          <w:rFonts w:ascii="Source Sans Pro" w:hAnsi="Source Sans Pro"/>
          <w:b/>
          <w:bCs/>
          <w:sz w:val="22"/>
          <w:szCs w:val="22"/>
          <w:highlight w:val="yellow"/>
        </w:rPr>
        <w:t>,</w:t>
      </w:r>
      <w:r w:rsidRPr="00BD20AB">
        <w:rPr>
          <w:rFonts w:ascii="Source Sans Pro" w:hAnsi="Source Sans Pro"/>
          <w:b/>
          <w:bCs/>
          <w:sz w:val="22"/>
          <w:szCs w:val="22"/>
          <w:highlight w:val="yellow"/>
        </w:rPr>
        <w:t xml:space="preserve"> the number of receptacles, shall be in accordance with NFPA 99-2012 6.3.2,2.6.2. If patient bed locations in existing healthcare undergo renovations or a change in occupancy, the number of receptacles must be increased to meet the requirements of NFPA 99-2012; 6.3.2,2.6.2.to eliminate the need for power strips</w:t>
      </w:r>
      <w:r w:rsidRPr="00BD20AB">
        <w:rPr>
          <w:rFonts w:ascii="Source Sans Pro" w:hAnsi="Source Sans Pro"/>
          <w:sz w:val="22"/>
          <w:szCs w:val="22"/>
        </w:rPr>
        <w:t>.</w:t>
      </w:r>
    </w:p>
    <w:sectPr w:rsidR="001E6196" w:rsidRPr="00BD20AB" w:rsidSect="00331507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554" w:rsidRDefault="00C66554">
      <w:r>
        <w:separator/>
      </w:r>
    </w:p>
  </w:endnote>
  <w:endnote w:type="continuationSeparator" w:id="0">
    <w:p w:rsidR="00C66554" w:rsidRDefault="00C6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28B4" w:rsidRPr="0076792F" w:rsidRDefault="00FD28B4">
    <w:pPr>
      <w:pStyle w:val="Footer"/>
      <w:rPr>
        <w:rFonts w:ascii="Times New Roman" w:hAnsi="Times New Roman"/>
        <w:sz w:val="16"/>
        <w:szCs w:val="16"/>
      </w:rPr>
    </w:pPr>
    <w:r w:rsidRPr="0076792F">
      <w:rPr>
        <w:rFonts w:ascii="Times New Roman" w:hAnsi="Times New Roman"/>
        <w:sz w:val="16"/>
        <w:szCs w:val="16"/>
      </w:rPr>
      <w:fldChar w:fldCharType="begin"/>
    </w:r>
    <w:r w:rsidRPr="0076792F">
      <w:rPr>
        <w:rFonts w:ascii="Times New Roman" w:hAnsi="Times New Roman"/>
        <w:sz w:val="16"/>
        <w:szCs w:val="16"/>
      </w:rPr>
      <w:instrText xml:space="preserve"> FILENAME </w:instrText>
    </w:r>
    <w:r w:rsidRPr="0076792F">
      <w:rPr>
        <w:rFonts w:ascii="Times New Roman" w:hAnsi="Times New Roman"/>
        <w:sz w:val="16"/>
        <w:szCs w:val="16"/>
      </w:rPr>
      <w:fldChar w:fldCharType="separate"/>
    </w:r>
    <w:r w:rsidR="00561730">
      <w:rPr>
        <w:rFonts w:ascii="Times New Roman" w:hAnsi="Times New Roman"/>
        <w:noProof/>
        <w:sz w:val="16"/>
        <w:szCs w:val="16"/>
      </w:rPr>
      <w:t>UT-EC.02.05.01EP23 a Policy on Relocatable Power Taps (RPTs)</w:t>
    </w:r>
    <w:r w:rsidRPr="0076792F">
      <w:rPr>
        <w:rFonts w:ascii="Times New Roman" w:hAnsi="Times New Roman"/>
        <w:sz w:val="16"/>
        <w:szCs w:val="16"/>
      </w:rPr>
      <w:fldChar w:fldCharType="end"/>
    </w:r>
    <w:r w:rsidR="001C59CB">
      <w:rPr>
        <w:rFonts w:ascii="Times New Roman" w:hAnsi="Times New Roman"/>
        <w:sz w:val="16"/>
        <w:szCs w:val="16"/>
      </w:rPr>
      <w:tab/>
    </w:r>
    <w:r w:rsidR="00422C8B">
      <w:rPr>
        <w:rFonts w:ascii="Times New Roman" w:hAnsi="Times New Roman"/>
        <w:sz w:val="16"/>
        <w:szCs w:val="16"/>
      </w:rPr>
      <w:tab/>
    </w:r>
    <w:r w:rsidRPr="0076792F">
      <w:rPr>
        <w:rFonts w:ascii="Times New Roman" w:hAnsi="Times New Roman"/>
        <w:sz w:val="16"/>
        <w:szCs w:val="16"/>
      </w:rPr>
      <w:t xml:space="preserve">© SMS, </w:t>
    </w:r>
    <w:r w:rsidR="00E11C6E" w:rsidRPr="0076792F">
      <w:rPr>
        <w:rFonts w:ascii="Times New Roman" w:hAnsi="Times New Roman"/>
        <w:sz w:val="16"/>
        <w:szCs w:val="16"/>
      </w:rPr>
      <w:t>Inc.</w:t>
    </w:r>
    <w:r w:rsidRPr="0076792F">
      <w:rPr>
        <w:rFonts w:ascii="Times New Roman" w:hAnsi="Times New Roman"/>
        <w:sz w:val="16"/>
        <w:szCs w:val="16"/>
      </w:rPr>
      <w:t>, 20</w:t>
    </w:r>
    <w:r w:rsidR="00017288">
      <w:rPr>
        <w:rFonts w:ascii="Times New Roman" w:hAnsi="Times New Roman"/>
        <w:sz w:val="16"/>
        <w:szCs w:val="16"/>
      </w:rPr>
      <w:t>2</w:t>
    </w:r>
    <w:r w:rsidR="0041537A"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554" w:rsidRDefault="00C66554">
      <w:r>
        <w:separator/>
      </w:r>
    </w:p>
  </w:footnote>
  <w:footnote w:type="continuationSeparator" w:id="0">
    <w:p w:rsidR="00C66554" w:rsidRDefault="00C6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E23" w:rsidRPr="00BD20AB" w:rsidRDefault="00FD28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80"/>
        <w:tab w:val="left" w:pos="4320"/>
        <w:tab w:val="left" w:pos="6480"/>
      </w:tabs>
      <w:rPr>
        <w:rFonts w:ascii="Source Sans Pro" w:hAnsi="Source Sans Pro"/>
        <w:b/>
        <w:szCs w:val="24"/>
      </w:rPr>
    </w:pPr>
    <w:r w:rsidRPr="00BD20AB">
      <w:rPr>
        <w:rFonts w:ascii="Source Sans Pro" w:hAnsi="Source Sans Pro"/>
        <w:szCs w:val="24"/>
      </w:rPr>
      <w:t>Section:</w:t>
    </w:r>
    <w:r w:rsidRPr="00BD20AB">
      <w:rPr>
        <w:rFonts w:ascii="Source Sans Pro" w:hAnsi="Source Sans Pro"/>
        <w:szCs w:val="24"/>
      </w:rPr>
      <w:tab/>
    </w:r>
    <w:r w:rsidR="00513E23" w:rsidRPr="00BD20AB">
      <w:rPr>
        <w:rFonts w:ascii="Source Sans Pro" w:hAnsi="Source Sans Pro"/>
        <w:b/>
        <w:szCs w:val="24"/>
      </w:rPr>
      <w:t xml:space="preserve">UTILITY SYSTEMS        </w:t>
    </w:r>
    <w:r w:rsidR="006A5750" w:rsidRPr="00BD20AB">
      <w:rPr>
        <w:rFonts w:ascii="Source Sans Pro" w:hAnsi="Source Sans Pro"/>
        <w:b/>
        <w:szCs w:val="24"/>
      </w:rPr>
      <w:t>EC.02.05.01EP</w:t>
    </w:r>
    <w:r w:rsidR="00C94F1F" w:rsidRPr="00BD20AB">
      <w:rPr>
        <w:rFonts w:ascii="Source Sans Pro" w:hAnsi="Source Sans Pro"/>
        <w:b/>
        <w:szCs w:val="24"/>
      </w:rPr>
      <w:t>2</w:t>
    </w:r>
    <w:r w:rsidR="008F29E8" w:rsidRPr="00BD20AB">
      <w:rPr>
        <w:rFonts w:ascii="Source Sans Pro" w:hAnsi="Source Sans Pro"/>
        <w:b/>
        <w:szCs w:val="24"/>
      </w:rPr>
      <w:t>3</w:t>
    </w:r>
  </w:p>
  <w:p w:rsidR="00FD28B4" w:rsidRPr="00BD20AB" w:rsidRDefault="00FD28B4" w:rsidP="00513E2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80"/>
        <w:tab w:val="left" w:pos="4320"/>
        <w:tab w:val="left" w:pos="6480"/>
      </w:tabs>
      <w:rPr>
        <w:rFonts w:ascii="Source Sans Pro" w:hAnsi="Source Sans Pro"/>
        <w:szCs w:val="24"/>
      </w:rPr>
    </w:pPr>
    <w:r w:rsidRPr="00BD20AB">
      <w:rPr>
        <w:rFonts w:ascii="Source Sans Pro" w:hAnsi="Source Sans Pro"/>
        <w:szCs w:val="24"/>
      </w:rPr>
      <w:tab/>
    </w:r>
  </w:p>
  <w:p w:rsidR="00FD28B4" w:rsidRPr="00BD20AB" w:rsidRDefault="00FD28B4" w:rsidP="00F546D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80"/>
        <w:tab w:val="left" w:pos="4320"/>
        <w:tab w:val="left" w:pos="6480"/>
      </w:tabs>
      <w:rPr>
        <w:rFonts w:ascii="Source Sans Pro" w:hAnsi="Source Sans Pro"/>
        <w:szCs w:val="24"/>
      </w:rPr>
    </w:pPr>
    <w:r w:rsidRPr="00BD20AB">
      <w:rPr>
        <w:rFonts w:ascii="Source Sans Pro" w:hAnsi="Source Sans Pro"/>
        <w:szCs w:val="24"/>
      </w:rPr>
      <w:t>Subject:</w:t>
    </w:r>
    <w:r w:rsidRPr="00BD20AB">
      <w:rPr>
        <w:rFonts w:ascii="Source Sans Pro" w:hAnsi="Source Sans Pro"/>
        <w:szCs w:val="24"/>
      </w:rPr>
      <w:tab/>
    </w:r>
    <w:r w:rsidRPr="00BD20AB">
      <w:rPr>
        <w:rFonts w:ascii="Source Sans Pro" w:hAnsi="Source Sans Pro"/>
        <w:b/>
        <w:bCs/>
        <w:szCs w:val="24"/>
      </w:rPr>
      <w:t xml:space="preserve">Policy on </w:t>
    </w:r>
    <w:r w:rsidR="008F29E8" w:rsidRPr="00BD20AB">
      <w:rPr>
        <w:rFonts w:ascii="Source Sans Pro" w:hAnsi="Source Sans Pro"/>
        <w:b/>
        <w:szCs w:val="24"/>
      </w:rPr>
      <w:t>Relocatable Power Taps (RPTs)</w:t>
    </w:r>
    <w:r w:rsidR="00C94F1F" w:rsidRPr="00BD20AB">
      <w:rPr>
        <w:rFonts w:ascii="Source Sans Pro" w:hAnsi="Source Sans Pro"/>
        <w:b/>
        <w:szCs w:val="24"/>
      </w:rPr>
      <w:tab/>
    </w:r>
    <w:r w:rsidR="00513E23" w:rsidRPr="00BD20AB">
      <w:rPr>
        <w:rFonts w:ascii="Source Sans Pro" w:hAnsi="Source Sans Pro"/>
        <w:szCs w:val="24"/>
      </w:rPr>
      <w:t>Reviewed Date:</w:t>
    </w:r>
    <w:r w:rsidRPr="00BD20AB">
      <w:rPr>
        <w:rFonts w:ascii="Source Sans Pro" w:hAnsi="Source Sans Pro"/>
        <w:szCs w:val="24"/>
      </w:rPr>
      <w:tab/>
    </w:r>
  </w:p>
  <w:p w:rsidR="00FD28B4" w:rsidRPr="00BD20AB" w:rsidRDefault="00FD28B4" w:rsidP="00F546D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80"/>
        <w:tab w:val="left" w:pos="4320"/>
        <w:tab w:val="left" w:pos="6480"/>
      </w:tabs>
      <w:rPr>
        <w:rFonts w:ascii="Source Sans Pro" w:hAnsi="Source Sans Pro"/>
        <w:szCs w:val="24"/>
      </w:rPr>
    </w:pPr>
  </w:p>
  <w:p w:rsidR="00BD20AB" w:rsidRDefault="00BD20A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80"/>
        <w:tab w:val="left" w:pos="4320"/>
        <w:tab w:val="left" w:pos="6480"/>
      </w:tabs>
      <w:rPr>
        <w:rFonts w:ascii="Source Sans Pro" w:hAnsi="Source Sans Pro"/>
        <w:szCs w:val="24"/>
      </w:rPr>
    </w:pPr>
    <w:r w:rsidRPr="00BD20AB">
      <w:rPr>
        <w:rFonts w:ascii="Source Sans Pro" w:hAnsi="Source Sans Pro"/>
        <w:szCs w:val="24"/>
      </w:rPr>
      <w:t>Reviewed Date:</w:t>
    </w:r>
  </w:p>
  <w:p w:rsidR="00BD20AB" w:rsidRDefault="00BD20A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80"/>
        <w:tab w:val="left" w:pos="4320"/>
        <w:tab w:val="left" w:pos="6480"/>
      </w:tabs>
      <w:rPr>
        <w:rFonts w:ascii="Source Sans Pro" w:hAnsi="Source Sans Pro"/>
        <w:szCs w:val="24"/>
      </w:rPr>
    </w:pPr>
  </w:p>
  <w:p w:rsidR="00FD28B4" w:rsidRPr="00BD20AB" w:rsidRDefault="00FD28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80"/>
        <w:tab w:val="left" w:pos="4320"/>
        <w:tab w:val="left" w:pos="6480"/>
      </w:tabs>
      <w:rPr>
        <w:rFonts w:ascii="Source Sans Pro" w:hAnsi="Source Sans Pro"/>
        <w:szCs w:val="24"/>
      </w:rPr>
    </w:pPr>
    <w:r w:rsidRPr="00BD20AB">
      <w:rPr>
        <w:rFonts w:ascii="Source Sans Pro" w:hAnsi="Source Sans Pro"/>
        <w:szCs w:val="24"/>
      </w:rPr>
      <w:t>Approval</w:t>
    </w:r>
    <w:r w:rsidRPr="00BD20AB">
      <w:rPr>
        <w:rFonts w:ascii="Source Sans Pro" w:hAnsi="Source Sans Pro"/>
        <w:szCs w:val="24"/>
      </w:rPr>
      <w:tab/>
    </w:r>
    <w:r w:rsidRPr="00BD20AB">
      <w:rPr>
        <w:rFonts w:ascii="Source Sans Pro" w:hAnsi="Source Sans Pro"/>
        <w:szCs w:val="24"/>
      </w:rPr>
      <w:tab/>
    </w:r>
    <w:r w:rsidRPr="00BD20AB">
      <w:rPr>
        <w:rFonts w:ascii="Source Sans Pro" w:hAnsi="Source Sans Pro"/>
        <w:szCs w:val="24"/>
      </w:rPr>
      <w:tab/>
      <w:t xml:space="preserve">Page </w:t>
    </w:r>
    <w:r w:rsidRPr="00BD20AB">
      <w:rPr>
        <w:rFonts w:ascii="Source Sans Pro" w:hAnsi="Source Sans Pro"/>
        <w:szCs w:val="24"/>
      </w:rPr>
      <w:fldChar w:fldCharType="begin"/>
    </w:r>
    <w:r w:rsidRPr="00BD20AB">
      <w:rPr>
        <w:rFonts w:ascii="Source Sans Pro" w:hAnsi="Source Sans Pro"/>
        <w:szCs w:val="24"/>
      </w:rPr>
      <w:instrText xml:space="preserve"> PAGE </w:instrText>
    </w:r>
    <w:r w:rsidRPr="00BD20AB">
      <w:rPr>
        <w:rFonts w:ascii="Source Sans Pro" w:hAnsi="Source Sans Pro"/>
        <w:szCs w:val="24"/>
      </w:rPr>
      <w:fldChar w:fldCharType="separate"/>
    </w:r>
    <w:r w:rsidR="00C93471" w:rsidRPr="00BD20AB">
      <w:rPr>
        <w:rFonts w:ascii="Source Sans Pro" w:hAnsi="Source Sans Pro"/>
        <w:noProof/>
        <w:szCs w:val="24"/>
      </w:rPr>
      <w:t>1</w:t>
    </w:r>
    <w:r w:rsidRPr="00BD20AB">
      <w:rPr>
        <w:rFonts w:ascii="Source Sans Pro" w:hAnsi="Source Sans Pro"/>
        <w:szCs w:val="24"/>
      </w:rPr>
      <w:fldChar w:fldCharType="end"/>
    </w:r>
    <w:r w:rsidRPr="00BD20AB">
      <w:rPr>
        <w:rFonts w:ascii="Source Sans Pro" w:hAnsi="Source Sans Pro"/>
        <w:szCs w:val="24"/>
      </w:rPr>
      <w:t xml:space="preserve"> of </w:t>
    </w:r>
    <w:r w:rsidRPr="00BD20AB">
      <w:rPr>
        <w:rFonts w:ascii="Source Sans Pro" w:hAnsi="Source Sans Pro"/>
        <w:szCs w:val="24"/>
      </w:rPr>
      <w:fldChar w:fldCharType="begin"/>
    </w:r>
    <w:r w:rsidRPr="00BD20AB">
      <w:rPr>
        <w:rFonts w:ascii="Source Sans Pro" w:hAnsi="Source Sans Pro"/>
        <w:szCs w:val="24"/>
      </w:rPr>
      <w:instrText xml:space="preserve"> NUMPAGES </w:instrText>
    </w:r>
    <w:r w:rsidRPr="00BD20AB">
      <w:rPr>
        <w:rFonts w:ascii="Source Sans Pro" w:hAnsi="Source Sans Pro"/>
        <w:szCs w:val="24"/>
      </w:rPr>
      <w:fldChar w:fldCharType="separate"/>
    </w:r>
    <w:r w:rsidR="00C93471" w:rsidRPr="00BD20AB">
      <w:rPr>
        <w:rFonts w:ascii="Source Sans Pro" w:hAnsi="Source Sans Pro"/>
        <w:noProof/>
        <w:szCs w:val="24"/>
      </w:rPr>
      <w:t>1</w:t>
    </w:r>
    <w:r w:rsidRPr="00BD20AB">
      <w:rPr>
        <w:rFonts w:ascii="Source Sans Pro" w:hAnsi="Source Sans Pro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30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A36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177C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0B1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28520F"/>
    <w:multiLevelType w:val="hybridMultilevel"/>
    <w:tmpl w:val="7C8A3F06"/>
    <w:lvl w:ilvl="0" w:tplc="25FE0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0129A"/>
    <w:multiLevelType w:val="hybridMultilevel"/>
    <w:tmpl w:val="93CA418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9E717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0455F4B"/>
    <w:multiLevelType w:val="hybridMultilevel"/>
    <w:tmpl w:val="EEBC5990"/>
    <w:lvl w:ilvl="0" w:tplc="533EDC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30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3C776C"/>
    <w:multiLevelType w:val="hybridMultilevel"/>
    <w:tmpl w:val="7F6CF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892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F61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1971155">
    <w:abstractNumId w:val="6"/>
  </w:num>
  <w:num w:numId="2" w16cid:durableId="1058745184">
    <w:abstractNumId w:val="1"/>
  </w:num>
  <w:num w:numId="3" w16cid:durableId="1049765357">
    <w:abstractNumId w:val="11"/>
  </w:num>
  <w:num w:numId="4" w16cid:durableId="916287262">
    <w:abstractNumId w:val="10"/>
  </w:num>
  <w:num w:numId="5" w16cid:durableId="562640974">
    <w:abstractNumId w:val="3"/>
  </w:num>
  <w:num w:numId="6" w16cid:durableId="1020085049">
    <w:abstractNumId w:val="8"/>
  </w:num>
  <w:num w:numId="7" w16cid:durableId="786125333">
    <w:abstractNumId w:val="2"/>
  </w:num>
  <w:num w:numId="8" w16cid:durableId="798298811">
    <w:abstractNumId w:val="0"/>
  </w:num>
  <w:num w:numId="9" w16cid:durableId="1052848354">
    <w:abstractNumId w:val="9"/>
  </w:num>
  <w:num w:numId="10" w16cid:durableId="14767227">
    <w:abstractNumId w:val="5"/>
  </w:num>
  <w:num w:numId="11" w16cid:durableId="1173884618">
    <w:abstractNumId w:val="4"/>
  </w:num>
  <w:num w:numId="12" w16cid:durableId="518812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D2"/>
    <w:rsid w:val="00002E6E"/>
    <w:rsid w:val="00006508"/>
    <w:rsid w:val="00017288"/>
    <w:rsid w:val="00033533"/>
    <w:rsid w:val="000636DA"/>
    <w:rsid w:val="00092B43"/>
    <w:rsid w:val="001034D5"/>
    <w:rsid w:val="001C59CB"/>
    <w:rsid w:val="001E4AD2"/>
    <w:rsid w:val="001E6196"/>
    <w:rsid w:val="002070E1"/>
    <w:rsid w:val="0026481C"/>
    <w:rsid w:val="00270891"/>
    <w:rsid w:val="00290DFE"/>
    <w:rsid w:val="00294320"/>
    <w:rsid w:val="002D0391"/>
    <w:rsid w:val="002F2933"/>
    <w:rsid w:val="002F40AC"/>
    <w:rsid w:val="003260C0"/>
    <w:rsid w:val="00331507"/>
    <w:rsid w:val="00360B32"/>
    <w:rsid w:val="00374EA9"/>
    <w:rsid w:val="003A7BBC"/>
    <w:rsid w:val="003C20D7"/>
    <w:rsid w:val="00413EC3"/>
    <w:rsid w:val="0041537A"/>
    <w:rsid w:val="00416217"/>
    <w:rsid w:val="00422C8B"/>
    <w:rsid w:val="0043459A"/>
    <w:rsid w:val="004429B0"/>
    <w:rsid w:val="00445A42"/>
    <w:rsid w:val="004A51AA"/>
    <w:rsid w:val="004D02C8"/>
    <w:rsid w:val="004D0F3C"/>
    <w:rsid w:val="004F4CE0"/>
    <w:rsid w:val="00513E23"/>
    <w:rsid w:val="00514AE1"/>
    <w:rsid w:val="00561730"/>
    <w:rsid w:val="00567C7F"/>
    <w:rsid w:val="00575EDB"/>
    <w:rsid w:val="00576919"/>
    <w:rsid w:val="005E6733"/>
    <w:rsid w:val="006335A5"/>
    <w:rsid w:val="0065336E"/>
    <w:rsid w:val="00686F7B"/>
    <w:rsid w:val="006A0BD6"/>
    <w:rsid w:val="006A5750"/>
    <w:rsid w:val="006B1598"/>
    <w:rsid w:val="006D4F66"/>
    <w:rsid w:val="00750B4B"/>
    <w:rsid w:val="0076792F"/>
    <w:rsid w:val="00772575"/>
    <w:rsid w:val="00782FA7"/>
    <w:rsid w:val="007E70DD"/>
    <w:rsid w:val="00814057"/>
    <w:rsid w:val="00833A75"/>
    <w:rsid w:val="00835306"/>
    <w:rsid w:val="008F29E8"/>
    <w:rsid w:val="00986ACD"/>
    <w:rsid w:val="00AA1AAC"/>
    <w:rsid w:val="00AA56FD"/>
    <w:rsid w:val="00AC4072"/>
    <w:rsid w:val="00AE7496"/>
    <w:rsid w:val="00B51636"/>
    <w:rsid w:val="00B5599A"/>
    <w:rsid w:val="00BA10E9"/>
    <w:rsid w:val="00BA3EE0"/>
    <w:rsid w:val="00BA49F5"/>
    <w:rsid w:val="00BA549F"/>
    <w:rsid w:val="00BD20AB"/>
    <w:rsid w:val="00C15D97"/>
    <w:rsid w:val="00C22D55"/>
    <w:rsid w:val="00C66554"/>
    <w:rsid w:val="00C67CAA"/>
    <w:rsid w:val="00C74C61"/>
    <w:rsid w:val="00C93471"/>
    <w:rsid w:val="00C94F1F"/>
    <w:rsid w:val="00CA6F69"/>
    <w:rsid w:val="00CF406D"/>
    <w:rsid w:val="00D42244"/>
    <w:rsid w:val="00DD13E3"/>
    <w:rsid w:val="00E1075D"/>
    <w:rsid w:val="00E11C6E"/>
    <w:rsid w:val="00E3266C"/>
    <w:rsid w:val="00E34C96"/>
    <w:rsid w:val="00E369FE"/>
    <w:rsid w:val="00E40BD6"/>
    <w:rsid w:val="00EF3270"/>
    <w:rsid w:val="00F00318"/>
    <w:rsid w:val="00F07140"/>
    <w:rsid w:val="00F419DA"/>
    <w:rsid w:val="00F546DB"/>
    <w:rsid w:val="00F628D8"/>
    <w:rsid w:val="00F92BE5"/>
    <w:rsid w:val="00FA1FD2"/>
    <w:rsid w:val="00FC4385"/>
    <w:rsid w:val="00FD28B4"/>
    <w:rsid w:val="00FE41B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C4C6FC-1F32-4E7D-AAED-691C2699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BodyText">
    <w:name w:val="Body Text"/>
    <w:basedOn w:val="Normal"/>
    <w:rPr>
      <w:rFonts w:cs="Arial"/>
      <w:sz w:val="22"/>
    </w:rPr>
  </w:style>
  <w:style w:type="paragraph" w:styleId="BalloonText">
    <w:name w:val="Balloon Text"/>
    <w:basedOn w:val="Normal"/>
    <w:semiHidden/>
    <w:rsid w:val="00AA1A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9347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Emergency Power</vt:lpstr>
    </vt:vector>
  </TitlesOfParts>
  <Manager/>
  <Company>SMS Inc.</Company>
  <LinksUpToDate>false</LinksUpToDate>
  <CharactersWithSpaces>1712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Emergency Power</dc:title>
  <dc:subject/>
  <dc:creator>Lorrie Elizarraraz</dc:creator>
  <cp:keywords>EC.02.05.03</cp:keywords>
  <dc:description/>
  <cp:lastModifiedBy>George Williams</cp:lastModifiedBy>
  <cp:revision>2</cp:revision>
  <cp:lastPrinted>2015-01-28T23:10:00Z</cp:lastPrinted>
  <dcterms:created xsi:type="dcterms:W3CDTF">2023-03-03T16:52:00Z</dcterms:created>
  <dcterms:modified xsi:type="dcterms:W3CDTF">2023-03-03T16:52:00Z</dcterms:modified>
  <cp:category>Emergency Electric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6c4ddb459bb9ad2b83af58b3baa693f22081e5dee9c23a42ef07bf8e856d0883</vt:lpwstr>
  </property>
</Properties>
</file>